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A23A" w14:textId="77777777" w:rsidR="00E13B1D" w:rsidRPr="00DA2042" w:rsidRDefault="00E13B1D" w:rsidP="0080523E">
      <w:pPr>
        <w:rPr>
          <w:rFonts w:ascii="Arial" w:hAnsi="Arial" w:cs="Arial"/>
          <w:b/>
          <w:color w:val="000000" w:themeColor="text1"/>
          <w:sz w:val="24"/>
          <w:szCs w:val="24"/>
        </w:rPr>
      </w:pPr>
      <w:bookmarkStart w:id="0" w:name="_GoBack"/>
      <w:bookmarkEnd w:id="0"/>
      <w:r w:rsidRPr="00DA2042">
        <w:rPr>
          <w:rFonts w:ascii="Arial" w:hAnsi="Arial" w:cs="Arial"/>
          <w:b/>
          <w:noProof/>
          <w:color w:val="000000" w:themeColor="text1"/>
          <w:sz w:val="24"/>
          <w:szCs w:val="24"/>
          <w:lang w:val="en-GB" w:eastAsia="en-GB"/>
        </w:rPr>
        <w:drawing>
          <wp:anchor distT="0" distB="0" distL="114300" distR="114300" simplePos="0" relativeHeight="251659264" behindDoc="0" locked="0" layoutInCell="1" allowOverlap="1" wp14:anchorId="65F169CA" wp14:editId="79744CB0">
            <wp:simplePos x="0" y="0"/>
            <wp:positionH relativeFrom="column">
              <wp:posOffset>759460</wp:posOffset>
            </wp:positionH>
            <wp:positionV relativeFrom="paragraph">
              <wp:posOffset>-688975</wp:posOffset>
            </wp:positionV>
            <wp:extent cx="5731510" cy="1326515"/>
            <wp:effectExtent l="0" t="0" r="2540" b="6985"/>
            <wp:wrapSquare wrapText="bothSides"/>
            <wp:docPr id="1" name="Picture 1" descr="S:\PRHP1\DRAFTS\IAIN DRAFTS\CHAMBER PROJECT\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HP1\DRAFTS\IAIN DRAFTS\CHAMBER PROJECT\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326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C7C24" w14:textId="77777777" w:rsidR="00E13B1D" w:rsidRPr="00DA2042" w:rsidRDefault="00E13B1D" w:rsidP="00E13B1D">
      <w:pPr>
        <w:jc w:val="both"/>
        <w:rPr>
          <w:rFonts w:ascii="Arial" w:hAnsi="Arial" w:cs="Arial"/>
          <w:b/>
          <w:color w:val="000000" w:themeColor="text1"/>
          <w:sz w:val="24"/>
          <w:szCs w:val="24"/>
        </w:rPr>
      </w:pPr>
    </w:p>
    <w:p w14:paraId="3243283A" w14:textId="77777777" w:rsidR="00E13B1D" w:rsidRDefault="00E13B1D" w:rsidP="00E13B1D">
      <w:pPr>
        <w:rPr>
          <w:rFonts w:ascii="Times New Roman" w:eastAsia="Times New Roman" w:hAnsi="Times New Roman" w:cs="Times New Roman"/>
          <w:color w:val="000000" w:themeColor="text1"/>
          <w:sz w:val="6"/>
          <w:szCs w:val="6"/>
        </w:rPr>
      </w:pPr>
    </w:p>
    <w:p w14:paraId="556B06EB" w14:textId="77777777" w:rsidR="0080523E" w:rsidRDefault="0080523E" w:rsidP="00E13B1D">
      <w:pPr>
        <w:rPr>
          <w:rFonts w:ascii="Times New Roman" w:eastAsia="Times New Roman" w:hAnsi="Times New Roman" w:cs="Times New Roman"/>
          <w:color w:val="000000" w:themeColor="text1"/>
          <w:sz w:val="6"/>
          <w:szCs w:val="6"/>
        </w:rPr>
      </w:pPr>
    </w:p>
    <w:p w14:paraId="05F55B03" w14:textId="77777777" w:rsidR="0080523E" w:rsidRDefault="0080523E" w:rsidP="00E13B1D">
      <w:pPr>
        <w:rPr>
          <w:rFonts w:ascii="Times New Roman" w:eastAsia="Times New Roman" w:hAnsi="Times New Roman" w:cs="Times New Roman"/>
          <w:color w:val="000000" w:themeColor="text1"/>
          <w:sz w:val="6"/>
          <w:szCs w:val="6"/>
        </w:rPr>
      </w:pPr>
    </w:p>
    <w:p w14:paraId="30B13C4F" w14:textId="77777777" w:rsidR="0080523E" w:rsidRDefault="0080523E" w:rsidP="00E13B1D">
      <w:pPr>
        <w:rPr>
          <w:rFonts w:ascii="Times New Roman" w:eastAsia="Times New Roman" w:hAnsi="Times New Roman" w:cs="Times New Roman"/>
          <w:color w:val="000000" w:themeColor="text1"/>
          <w:sz w:val="6"/>
          <w:szCs w:val="6"/>
        </w:rPr>
      </w:pPr>
    </w:p>
    <w:p w14:paraId="1A6381B6" w14:textId="77777777" w:rsidR="0080523E" w:rsidRDefault="0080523E" w:rsidP="00E13B1D">
      <w:pPr>
        <w:rPr>
          <w:rFonts w:ascii="Times New Roman" w:eastAsia="Times New Roman" w:hAnsi="Times New Roman" w:cs="Times New Roman"/>
          <w:color w:val="000000" w:themeColor="text1"/>
          <w:sz w:val="6"/>
          <w:szCs w:val="6"/>
        </w:rPr>
      </w:pPr>
    </w:p>
    <w:p w14:paraId="7673E2E1" w14:textId="77777777" w:rsidR="0080523E" w:rsidRDefault="0080523E" w:rsidP="00E13B1D">
      <w:pPr>
        <w:rPr>
          <w:rFonts w:ascii="Times New Roman" w:eastAsia="Times New Roman" w:hAnsi="Times New Roman" w:cs="Times New Roman"/>
          <w:color w:val="000000" w:themeColor="text1"/>
          <w:sz w:val="6"/>
          <w:szCs w:val="6"/>
        </w:rPr>
      </w:pPr>
    </w:p>
    <w:p w14:paraId="56D3C1AE" w14:textId="77777777" w:rsidR="0080523E" w:rsidRDefault="0080523E" w:rsidP="00E13B1D">
      <w:pPr>
        <w:pStyle w:val="Heading1"/>
        <w:spacing w:before="69"/>
        <w:rPr>
          <w:color w:val="000000" w:themeColor="text1"/>
        </w:rPr>
      </w:pPr>
    </w:p>
    <w:p w14:paraId="14BA184A" w14:textId="77777777" w:rsidR="00E13B1D" w:rsidRPr="00DA2042" w:rsidRDefault="00E13B1D" w:rsidP="0080523E">
      <w:pPr>
        <w:pStyle w:val="Heading1"/>
        <w:spacing w:before="69"/>
        <w:rPr>
          <w:b w:val="0"/>
          <w:bCs w:val="0"/>
          <w:color w:val="000000" w:themeColor="text1"/>
        </w:rPr>
      </w:pPr>
      <w:r w:rsidRPr="00DA2042">
        <w:rPr>
          <w:color w:val="000000" w:themeColor="text1"/>
        </w:rPr>
        <w:t>PRACTICE DIRECTION No.</w:t>
      </w:r>
      <w:r w:rsidRPr="00DA2042">
        <w:rPr>
          <w:color w:val="000000" w:themeColor="text1"/>
          <w:spacing w:val="-18"/>
        </w:rPr>
        <w:t xml:space="preserve"> </w:t>
      </w:r>
      <w:r w:rsidRPr="00DA2042">
        <w:rPr>
          <w:color w:val="000000" w:themeColor="text1"/>
        </w:rPr>
        <w:t>2</w:t>
      </w:r>
    </w:p>
    <w:p w14:paraId="42428DD3" w14:textId="77777777" w:rsidR="00E13B1D" w:rsidRPr="00DA2042" w:rsidRDefault="00E13B1D" w:rsidP="0080523E">
      <w:pPr>
        <w:spacing w:before="10"/>
        <w:rPr>
          <w:rFonts w:ascii="Arial" w:eastAsia="Arial" w:hAnsi="Arial" w:cs="Arial"/>
          <w:b/>
          <w:bCs/>
          <w:color w:val="000000" w:themeColor="text1"/>
          <w:sz w:val="23"/>
          <w:szCs w:val="23"/>
        </w:rPr>
      </w:pPr>
    </w:p>
    <w:p w14:paraId="0E47A14F" w14:textId="77777777" w:rsidR="00E13B1D" w:rsidRPr="00DA2042" w:rsidRDefault="00E13B1D" w:rsidP="0080523E">
      <w:pPr>
        <w:rPr>
          <w:rFonts w:ascii="Arial" w:eastAsia="Arial" w:hAnsi="Arial" w:cs="Arial"/>
          <w:color w:val="000000" w:themeColor="text1"/>
          <w:sz w:val="24"/>
          <w:szCs w:val="24"/>
          <w:vertAlign w:val="superscript"/>
        </w:rPr>
      </w:pPr>
      <w:r w:rsidRPr="00DA2042">
        <w:rPr>
          <w:rFonts w:ascii="Arial"/>
          <w:b/>
          <w:color w:val="000000" w:themeColor="text1"/>
          <w:sz w:val="24"/>
        </w:rPr>
        <w:t>Documentation to be issued by a tribunal</w:t>
      </w:r>
    </w:p>
    <w:p w14:paraId="6D041C61" w14:textId="77777777" w:rsidR="00E13B1D" w:rsidRPr="00DA2042" w:rsidRDefault="00E13B1D" w:rsidP="0080523E">
      <w:pPr>
        <w:rPr>
          <w:rFonts w:ascii="Arial" w:eastAsia="Arial" w:hAnsi="Arial" w:cs="Arial"/>
          <w:b/>
          <w:bCs/>
          <w:color w:val="000000" w:themeColor="text1"/>
          <w:sz w:val="24"/>
          <w:szCs w:val="24"/>
        </w:rPr>
      </w:pPr>
    </w:p>
    <w:p w14:paraId="51C1966B" w14:textId="77777777" w:rsidR="00E13B1D" w:rsidRPr="000909A9" w:rsidRDefault="00E13B1D" w:rsidP="000909A9">
      <w:pPr>
        <w:rPr>
          <w:rFonts w:ascii="Arial" w:eastAsia="Arial" w:hAnsi="Arial" w:cs="Arial"/>
          <w:color w:val="000000" w:themeColor="text1"/>
          <w:sz w:val="24"/>
          <w:szCs w:val="24"/>
          <w:lang w:val="en-GB"/>
        </w:rPr>
      </w:pPr>
      <w:r w:rsidRPr="000909A9">
        <w:rPr>
          <w:rFonts w:ascii="Arial" w:eastAsia="Arial" w:hAnsi="Arial" w:cs="Arial"/>
          <w:color w:val="000000" w:themeColor="text1"/>
          <w:sz w:val="24"/>
          <w:szCs w:val="24"/>
          <w:lang w:val="en-GB"/>
        </w:rPr>
        <w:t>This Direction is issued under section 74(1)(a) and 75(2) of the Tribunals (Scotland) Act 2014 which provides that the President of Tribunals may issue directions as to the practice and procedure to be followed in proceedings at the First-tier Tribunal.</w:t>
      </w:r>
    </w:p>
    <w:p w14:paraId="0AB47758" w14:textId="77777777" w:rsidR="00E13B1D" w:rsidRPr="000909A9" w:rsidRDefault="00E13B1D" w:rsidP="000909A9">
      <w:pPr>
        <w:rPr>
          <w:rFonts w:ascii="Arial" w:eastAsia="Arial" w:hAnsi="Arial" w:cs="Arial"/>
          <w:color w:val="000000" w:themeColor="text1"/>
          <w:sz w:val="24"/>
          <w:szCs w:val="24"/>
          <w:lang w:val="en-GB"/>
        </w:rPr>
      </w:pPr>
    </w:p>
    <w:p w14:paraId="485310BC" w14:textId="2288634D" w:rsidR="00E13B1D" w:rsidRDefault="00E13B1D" w:rsidP="000909A9">
      <w:pPr>
        <w:rPr>
          <w:rFonts w:ascii="Arial" w:eastAsia="Arial" w:hAnsi="Arial" w:cs="Arial"/>
          <w:color w:val="000000" w:themeColor="text1"/>
          <w:sz w:val="24"/>
          <w:szCs w:val="24"/>
          <w:lang w:val="en-GB"/>
        </w:rPr>
      </w:pPr>
      <w:r w:rsidRPr="000909A9">
        <w:rPr>
          <w:rFonts w:ascii="Arial" w:eastAsia="Arial" w:hAnsi="Arial" w:cs="Arial"/>
          <w:color w:val="000000" w:themeColor="text1"/>
          <w:sz w:val="24"/>
          <w:szCs w:val="24"/>
          <w:lang w:val="en-GB"/>
        </w:rPr>
        <w:t xml:space="preserve">This Direction applies in relation to proceedings in respect of </w:t>
      </w:r>
      <w:r w:rsidRPr="00BC4975">
        <w:rPr>
          <w:rFonts w:ascii="Arial" w:eastAsia="Arial" w:hAnsi="Arial" w:cs="Arial"/>
          <w:b/>
          <w:color w:val="000000" w:themeColor="text1"/>
          <w:sz w:val="24"/>
          <w:szCs w:val="24"/>
          <w:lang w:val="en-GB"/>
        </w:rPr>
        <w:t xml:space="preserve">homeowner </w:t>
      </w:r>
      <w:r w:rsidRPr="000909A9">
        <w:rPr>
          <w:rFonts w:ascii="Arial" w:eastAsia="Arial" w:hAnsi="Arial" w:cs="Arial"/>
          <w:color w:val="000000" w:themeColor="text1"/>
          <w:sz w:val="24"/>
          <w:szCs w:val="24"/>
          <w:lang w:val="en-GB"/>
        </w:rPr>
        <w:t>applications before the Housing and Property Chamber of the F</w:t>
      </w:r>
      <w:r w:rsidR="0080523E" w:rsidRPr="000909A9">
        <w:rPr>
          <w:rFonts w:ascii="Arial" w:eastAsia="Arial" w:hAnsi="Arial" w:cs="Arial"/>
          <w:color w:val="000000" w:themeColor="text1"/>
          <w:sz w:val="24"/>
          <w:szCs w:val="24"/>
          <w:lang w:val="en-GB"/>
        </w:rPr>
        <w:t>irst-tier Tribunal for Scotland</w:t>
      </w:r>
      <w:r w:rsidR="003C3531" w:rsidRPr="000909A9">
        <w:rPr>
          <w:rFonts w:ascii="Arial" w:eastAsia="Arial" w:hAnsi="Arial" w:cs="Arial"/>
          <w:color w:val="000000" w:themeColor="text1"/>
          <w:sz w:val="24"/>
          <w:szCs w:val="24"/>
          <w:lang w:val="en-GB"/>
        </w:rPr>
        <w:t xml:space="preserve"> commenc</w:t>
      </w:r>
      <w:r w:rsidR="00186E19">
        <w:rPr>
          <w:rFonts w:ascii="Arial" w:eastAsia="Arial" w:hAnsi="Arial" w:cs="Arial"/>
          <w:color w:val="000000" w:themeColor="text1"/>
          <w:sz w:val="24"/>
          <w:szCs w:val="24"/>
          <w:lang w:val="en-GB"/>
        </w:rPr>
        <w:t>ed, or in progress, on or after 26 February 2018</w:t>
      </w:r>
      <w:r w:rsidR="0080523E" w:rsidRPr="000909A9">
        <w:rPr>
          <w:rFonts w:ascii="Arial" w:eastAsia="Arial" w:hAnsi="Arial" w:cs="Arial"/>
          <w:color w:val="000000" w:themeColor="text1"/>
          <w:sz w:val="24"/>
          <w:szCs w:val="24"/>
          <w:lang w:val="en-GB"/>
        </w:rPr>
        <w:t>.</w:t>
      </w:r>
    </w:p>
    <w:p w14:paraId="35B5C4C1" w14:textId="77777777" w:rsidR="009F50C0" w:rsidRDefault="009F50C0" w:rsidP="000909A9">
      <w:pPr>
        <w:rPr>
          <w:rFonts w:ascii="Arial" w:eastAsia="Arial" w:hAnsi="Arial" w:cs="Arial"/>
          <w:color w:val="000000" w:themeColor="text1"/>
          <w:sz w:val="24"/>
          <w:szCs w:val="24"/>
          <w:lang w:val="en-GB"/>
        </w:rPr>
      </w:pPr>
    </w:p>
    <w:p w14:paraId="1949EC65" w14:textId="58EFD3A0" w:rsidR="009F50C0" w:rsidRPr="00084DE0" w:rsidRDefault="009F50C0" w:rsidP="009F50C0">
      <w:pPr>
        <w:rPr>
          <w:rFonts w:ascii="Arial" w:eastAsia="Arial" w:hAnsi="Arial" w:cs="Arial"/>
          <w:sz w:val="24"/>
          <w:szCs w:val="24"/>
          <w:lang w:val="en-GB"/>
        </w:rPr>
      </w:pPr>
      <w:r>
        <w:rPr>
          <w:rFonts w:ascii="Arial" w:eastAsia="Arial" w:hAnsi="Arial" w:cs="Arial"/>
          <w:sz w:val="24"/>
          <w:szCs w:val="24"/>
          <w:lang w:val="en-GB"/>
        </w:rPr>
        <w:t xml:space="preserve">The previous practice direction </w:t>
      </w:r>
      <w:r w:rsidR="00573989">
        <w:rPr>
          <w:rFonts w:ascii="Arial" w:eastAsia="Arial" w:hAnsi="Arial" w:cs="Arial"/>
          <w:sz w:val="24"/>
          <w:szCs w:val="24"/>
          <w:lang w:val="en-GB"/>
        </w:rPr>
        <w:t xml:space="preserve">No. 2 </w:t>
      </w:r>
      <w:r>
        <w:rPr>
          <w:rFonts w:ascii="Arial" w:eastAsia="Arial" w:hAnsi="Arial" w:cs="Arial"/>
          <w:sz w:val="24"/>
          <w:szCs w:val="24"/>
          <w:lang w:val="en-GB"/>
        </w:rPr>
        <w:t>dated November 2016 is revoked.</w:t>
      </w:r>
    </w:p>
    <w:p w14:paraId="43FE8EB8" w14:textId="77777777" w:rsidR="00E13B1D" w:rsidRPr="000909A9" w:rsidRDefault="00E13B1D" w:rsidP="000909A9">
      <w:pPr>
        <w:rPr>
          <w:rFonts w:ascii="Arial" w:eastAsia="Arial" w:hAnsi="Arial" w:cs="Arial"/>
          <w:color w:val="000000" w:themeColor="text1"/>
          <w:sz w:val="24"/>
          <w:szCs w:val="24"/>
        </w:rPr>
      </w:pPr>
    </w:p>
    <w:p w14:paraId="17B6133F" w14:textId="1D387D00" w:rsidR="00E13B1D" w:rsidRPr="000909A9" w:rsidRDefault="00E13B1D" w:rsidP="000A1F3F">
      <w:pPr>
        <w:pStyle w:val="ListParagraph"/>
        <w:numPr>
          <w:ilvl w:val="0"/>
          <w:numId w:val="1"/>
        </w:numPr>
        <w:tabs>
          <w:tab w:val="left" w:pos="436"/>
        </w:tabs>
        <w:ind w:left="436" w:right="114" w:firstLine="0"/>
        <w:rPr>
          <w:rFonts w:ascii="Arial" w:eastAsia="Arial" w:hAnsi="Arial" w:cs="Arial"/>
          <w:color w:val="000000" w:themeColor="text1"/>
          <w:sz w:val="24"/>
          <w:szCs w:val="24"/>
        </w:rPr>
      </w:pPr>
      <w:r w:rsidRPr="000909A9">
        <w:rPr>
          <w:rFonts w:ascii="Arial" w:eastAsia="Arial" w:hAnsi="Arial" w:cs="Arial"/>
          <w:color w:val="000000" w:themeColor="text1"/>
          <w:sz w:val="24"/>
          <w:szCs w:val="24"/>
        </w:rPr>
        <w:t>This</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direction</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appl</w:t>
      </w:r>
      <w:r w:rsidR="00A751B1">
        <w:rPr>
          <w:rFonts w:ascii="Arial" w:eastAsia="Arial" w:hAnsi="Arial" w:cs="Arial"/>
          <w:color w:val="000000" w:themeColor="text1"/>
          <w:sz w:val="24"/>
          <w:szCs w:val="24"/>
        </w:rPr>
        <w:t>ies</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where</w:t>
      </w:r>
      <w:r w:rsidRPr="000A1F3F">
        <w:rPr>
          <w:rFonts w:ascii="Arial" w:hAnsi="Arial"/>
          <w:color w:val="000000" w:themeColor="text1"/>
          <w:sz w:val="24"/>
        </w:rPr>
        <w:t xml:space="preserve"> </w:t>
      </w:r>
      <w:r w:rsidR="00460D41" w:rsidRPr="000909A9">
        <w:rPr>
          <w:rFonts w:ascii="Arial" w:eastAsia="Arial" w:hAnsi="Arial" w:cs="Arial"/>
          <w:color w:val="000000" w:themeColor="text1"/>
          <w:sz w:val="24"/>
          <w:szCs w:val="24"/>
        </w:rPr>
        <w:t>a decision is being issued</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in</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terms</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of</w:t>
      </w:r>
      <w:r w:rsidRPr="000A1F3F">
        <w:rPr>
          <w:rFonts w:ascii="Arial" w:hAnsi="Arial"/>
          <w:color w:val="000000" w:themeColor="text1"/>
          <w:sz w:val="24"/>
        </w:rPr>
        <w:t xml:space="preserve"> </w:t>
      </w:r>
      <w:r w:rsidR="00A751B1">
        <w:rPr>
          <w:rFonts w:ascii="Arial" w:eastAsia="Arial" w:hAnsi="Arial" w:cs="Arial"/>
          <w:color w:val="000000" w:themeColor="text1"/>
          <w:sz w:val="24"/>
          <w:szCs w:val="24"/>
        </w:rPr>
        <w:t>s</w:t>
      </w:r>
      <w:r w:rsidRPr="000909A9">
        <w:rPr>
          <w:rFonts w:ascii="Arial" w:eastAsia="Arial" w:hAnsi="Arial" w:cs="Arial"/>
          <w:color w:val="000000" w:themeColor="text1"/>
          <w:sz w:val="24"/>
          <w:szCs w:val="24"/>
        </w:rPr>
        <w:t>ection</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19(1</w:t>
      </w:r>
      <w:proofErr w:type="gramStart"/>
      <w:r w:rsidRPr="000909A9">
        <w:rPr>
          <w:rFonts w:ascii="Arial" w:eastAsia="Arial" w:hAnsi="Arial" w:cs="Arial"/>
          <w:color w:val="000000" w:themeColor="text1"/>
          <w:sz w:val="24"/>
          <w:szCs w:val="24"/>
        </w:rPr>
        <w:t>)(</w:t>
      </w:r>
      <w:proofErr w:type="gramEnd"/>
      <w:r w:rsidRPr="000909A9">
        <w:rPr>
          <w:rFonts w:ascii="Arial" w:eastAsia="Arial" w:hAnsi="Arial" w:cs="Arial"/>
          <w:color w:val="000000" w:themeColor="text1"/>
          <w:sz w:val="24"/>
          <w:szCs w:val="24"/>
        </w:rPr>
        <w:t>a)</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of</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the</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Property</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Factor</w:t>
      </w:r>
      <w:r w:rsidR="00726B6F" w:rsidRPr="000909A9">
        <w:rPr>
          <w:rFonts w:ascii="Arial" w:eastAsia="Arial" w:hAnsi="Arial" w:cs="Arial"/>
          <w:color w:val="000000" w:themeColor="text1"/>
          <w:sz w:val="24"/>
          <w:szCs w:val="24"/>
        </w:rPr>
        <w:t>s</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(Scotland)</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Act</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2011</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(“the</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Act”)</w:t>
      </w:r>
      <w:r w:rsidR="00460D41" w:rsidRPr="000909A9">
        <w:rPr>
          <w:rFonts w:ascii="Arial" w:eastAsia="Arial" w:hAnsi="Arial" w:cs="Arial"/>
          <w:color w:val="000000" w:themeColor="text1"/>
          <w:sz w:val="24"/>
          <w:szCs w:val="24"/>
        </w:rPr>
        <w:t xml:space="preserve"> and,</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at</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the</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same</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time</w:t>
      </w:r>
      <w:r w:rsidR="00460D41" w:rsidRPr="000909A9">
        <w:rPr>
          <w:rFonts w:ascii="Arial" w:eastAsia="Arial" w:hAnsi="Arial" w:cs="Arial"/>
          <w:color w:val="000000" w:themeColor="text1"/>
          <w:sz w:val="24"/>
          <w:szCs w:val="24"/>
        </w:rPr>
        <w:t>,</w:t>
      </w:r>
      <w:r w:rsidR="000909A9" w:rsidRPr="000A1F3F">
        <w:rPr>
          <w:rFonts w:ascii="Arial" w:hAnsi="Arial"/>
          <w:color w:val="000000" w:themeColor="text1"/>
          <w:sz w:val="24"/>
        </w:rPr>
        <w:t xml:space="preserve"> </w:t>
      </w:r>
      <w:r w:rsidR="00460D41" w:rsidRPr="000909A9">
        <w:rPr>
          <w:rFonts w:ascii="Arial" w:eastAsia="Arial" w:hAnsi="Arial" w:cs="Arial"/>
          <w:color w:val="000000" w:themeColor="text1"/>
          <w:sz w:val="24"/>
          <w:szCs w:val="24"/>
        </w:rPr>
        <w:t>notice</w:t>
      </w:r>
      <w:r w:rsidR="00460D41" w:rsidRPr="000A1F3F">
        <w:rPr>
          <w:rFonts w:ascii="Arial" w:hAnsi="Arial"/>
          <w:color w:val="000000" w:themeColor="text1"/>
          <w:sz w:val="24"/>
        </w:rPr>
        <w:t xml:space="preserve"> is being given and representations invited</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under</w:t>
      </w:r>
      <w:r w:rsidRPr="000A1F3F">
        <w:rPr>
          <w:rFonts w:ascii="Arial" w:hAnsi="Arial"/>
          <w:color w:val="000000" w:themeColor="text1"/>
          <w:sz w:val="24"/>
        </w:rPr>
        <w:t xml:space="preserve"> </w:t>
      </w:r>
      <w:r w:rsidR="00A751B1">
        <w:rPr>
          <w:rFonts w:ascii="Arial" w:eastAsia="Arial" w:hAnsi="Arial" w:cs="Arial"/>
          <w:color w:val="000000" w:themeColor="text1"/>
          <w:sz w:val="24"/>
          <w:szCs w:val="24"/>
        </w:rPr>
        <w:t>s</w:t>
      </w:r>
      <w:r w:rsidRPr="000909A9">
        <w:rPr>
          <w:rFonts w:ascii="Arial" w:eastAsia="Arial" w:hAnsi="Arial" w:cs="Arial"/>
          <w:color w:val="000000" w:themeColor="text1"/>
          <w:sz w:val="24"/>
          <w:szCs w:val="24"/>
        </w:rPr>
        <w:t>ection 19(2) of the</w:t>
      </w:r>
      <w:r w:rsidRPr="000A1F3F">
        <w:rPr>
          <w:rFonts w:ascii="Arial" w:hAnsi="Arial"/>
          <w:color w:val="000000" w:themeColor="text1"/>
          <w:sz w:val="24"/>
        </w:rPr>
        <w:t xml:space="preserve"> </w:t>
      </w:r>
      <w:r w:rsidRPr="000909A9">
        <w:rPr>
          <w:rFonts w:ascii="Arial" w:eastAsia="Arial" w:hAnsi="Arial" w:cs="Arial"/>
          <w:color w:val="000000" w:themeColor="text1"/>
          <w:sz w:val="24"/>
          <w:szCs w:val="24"/>
        </w:rPr>
        <w:t>Act.</w:t>
      </w:r>
    </w:p>
    <w:p w14:paraId="3F0D08AA" w14:textId="77777777" w:rsidR="00E13B1D" w:rsidRPr="000909A9" w:rsidRDefault="00E13B1D" w:rsidP="000A1F3F">
      <w:pPr>
        <w:ind w:left="436"/>
        <w:rPr>
          <w:rFonts w:ascii="Arial" w:eastAsia="Arial" w:hAnsi="Arial" w:cs="Arial"/>
          <w:color w:val="000000" w:themeColor="text1"/>
          <w:sz w:val="24"/>
          <w:szCs w:val="24"/>
        </w:rPr>
      </w:pPr>
    </w:p>
    <w:p w14:paraId="051E266A" w14:textId="44F4673D" w:rsidR="00AF5E75" w:rsidRPr="00BC4975" w:rsidRDefault="00E13B1D" w:rsidP="00E13B1D">
      <w:pPr>
        <w:pStyle w:val="ListParagraph"/>
        <w:numPr>
          <w:ilvl w:val="0"/>
          <w:numId w:val="1"/>
        </w:numPr>
        <w:tabs>
          <w:tab w:val="left" w:pos="389"/>
        </w:tabs>
        <w:ind w:left="436" w:right="116" w:firstLine="0"/>
        <w:rPr>
          <w:rFonts w:ascii="Arial" w:eastAsia="Arial" w:hAnsi="Arial" w:cs="Arial"/>
          <w:color w:val="000000" w:themeColor="text1"/>
          <w:sz w:val="24"/>
          <w:szCs w:val="24"/>
        </w:rPr>
      </w:pPr>
      <w:r w:rsidRPr="00BC4975">
        <w:rPr>
          <w:rFonts w:ascii="Arial" w:hAnsi="Arial"/>
          <w:color w:val="000000" w:themeColor="text1"/>
          <w:sz w:val="24"/>
        </w:rPr>
        <w:t>In the</w:t>
      </w:r>
      <w:r w:rsidR="00460D41" w:rsidRPr="00BC4975">
        <w:rPr>
          <w:rFonts w:ascii="Arial" w:hAnsi="Arial"/>
          <w:color w:val="000000" w:themeColor="text1"/>
          <w:sz w:val="24"/>
        </w:rPr>
        <w:t>se</w:t>
      </w:r>
      <w:r w:rsidRPr="00BC4975">
        <w:rPr>
          <w:rFonts w:ascii="Arial" w:hAnsi="Arial"/>
          <w:color w:val="000000" w:themeColor="text1"/>
          <w:sz w:val="24"/>
        </w:rPr>
        <w:t xml:space="preserve"> circumstances, the </w:t>
      </w:r>
      <w:r w:rsidR="00A751B1" w:rsidRPr="00BC4975">
        <w:rPr>
          <w:rFonts w:ascii="Arial" w:hAnsi="Arial"/>
          <w:color w:val="000000" w:themeColor="text1"/>
          <w:sz w:val="24"/>
        </w:rPr>
        <w:t>s</w:t>
      </w:r>
      <w:r w:rsidRPr="00BC4975">
        <w:rPr>
          <w:rFonts w:ascii="Arial" w:hAnsi="Arial"/>
          <w:color w:val="000000" w:themeColor="text1"/>
          <w:sz w:val="24"/>
        </w:rPr>
        <w:t>ection 19(1)</w:t>
      </w:r>
      <w:r w:rsidR="0093727E" w:rsidRPr="00BC4975">
        <w:rPr>
          <w:rFonts w:ascii="Arial" w:hAnsi="Arial"/>
          <w:color w:val="000000" w:themeColor="text1"/>
          <w:sz w:val="24"/>
        </w:rPr>
        <w:t>(a)</w:t>
      </w:r>
      <w:r w:rsidRPr="00BC4975">
        <w:rPr>
          <w:rFonts w:ascii="Arial" w:hAnsi="Arial"/>
          <w:color w:val="000000" w:themeColor="text1"/>
          <w:sz w:val="24"/>
        </w:rPr>
        <w:t xml:space="preserve"> written decision issued in terms of</w:t>
      </w:r>
      <w:r w:rsidRPr="00BC4975">
        <w:rPr>
          <w:rFonts w:ascii="Arial" w:hAnsi="Arial" w:cs="Arial"/>
          <w:color w:val="000000" w:themeColor="text1"/>
          <w:sz w:val="24"/>
          <w:szCs w:val="24"/>
        </w:rPr>
        <w:t xml:space="preserve"> rule </w:t>
      </w:r>
      <w:r w:rsidR="0080523E" w:rsidRPr="00BC4975">
        <w:rPr>
          <w:rFonts w:ascii="Arial" w:hAnsi="Arial" w:cs="Arial"/>
          <w:color w:val="000000" w:themeColor="text1"/>
          <w:sz w:val="24"/>
          <w:szCs w:val="24"/>
        </w:rPr>
        <w:t>26</w:t>
      </w:r>
      <w:r w:rsidRPr="00BC4975">
        <w:rPr>
          <w:rFonts w:ascii="Arial" w:hAnsi="Arial" w:cs="Arial"/>
          <w:color w:val="000000" w:themeColor="text1"/>
          <w:sz w:val="24"/>
          <w:szCs w:val="24"/>
        </w:rPr>
        <w:t xml:space="preserve"> of </w:t>
      </w:r>
      <w:r w:rsidR="0093727E" w:rsidRPr="00BC4975">
        <w:rPr>
          <w:rFonts w:ascii="Arial" w:hAnsi="Arial" w:cs="Arial"/>
          <w:color w:val="000000" w:themeColor="text1"/>
          <w:sz w:val="24"/>
          <w:szCs w:val="24"/>
        </w:rPr>
        <w:t>The First-tier Tribunal for Scotland Housing and Property Chamber Rules of Proc</w:t>
      </w:r>
      <w:r w:rsidR="004255E4" w:rsidRPr="00BC4975">
        <w:rPr>
          <w:rFonts w:ascii="Arial" w:hAnsi="Arial" w:cs="Arial"/>
          <w:color w:val="000000" w:themeColor="text1"/>
          <w:sz w:val="24"/>
          <w:szCs w:val="24"/>
        </w:rPr>
        <w:t>edure 2017</w:t>
      </w:r>
      <w:r w:rsidR="004255E4" w:rsidRPr="00BC4975">
        <w:rPr>
          <w:rFonts w:ascii="Arial" w:hAnsi="Arial"/>
          <w:color w:val="000000" w:themeColor="text1"/>
          <w:sz w:val="24"/>
        </w:rPr>
        <w:t xml:space="preserve"> </w:t>
      </w:r>
      <w:r w:rsidR="004255E4" w:rsidRPr="00BC4975">
        <w:rPr>
          <w:rFonts w:ascii="Arial" w:hAnsi="Arial" w:cs="Arial"/>
          <w:color w:val="000000" w:themeColor="text1"/>
          <w:sz w:val="24"/>
          <w:szCs w:val="24"/>
        </w:rPr>
        <w:t xml:space="preserve">(SSI 2017/339) (“the </w:t>
      </w:r>
      <w:r w:rsidR="0093727E" w:rsidRPr="00BC4975">
        <w:rPr>
          <w:rFonts w:ascii="Arial" w:hAnsi="Arial" w:cs="Arial"/>
          <w:color w:val="000000" w:themeColor="text1"/>
          <w:sz w:val="24"/>
          <w:szCs w:val="24"/>
        </w:rPr>
        <w:t xml:space="preserve">Chamber Rules”) </w:t>
      </w:r>
      <w:r w:rsidR="0093727E" w:rsidRPr="00BC4975">
        <w:rPr>
          <w:rFonts w:ascii="Arial" w:hAnsi="Arial"/>
          <w:color w:val="000000" w:themeColor="text1"/>
          <w:sz w:val="24"/>
        </w:rPr>
        <w:t xml:space="preserve">must </w:t>
      </w:r>
      <w:r w:rsidR="0080523E" w:rsidRPr="00BC4975">
        <w:rPr>
          <w:rFonts w:ascii="Arial" w:hAnsi="Arial"/>
          <w:color w:val="000000" w:themeColor="text1"/>
          <w:sz w:val="24"/>
        </w:rPr>
        <w:t xml:space="preserve">be contained in a </w:t>
      </w:r>
      <w:r w:rsidRPr="00BC4975">
        <w:rPr>
          <w:rFonts w:ascii="Arial" w:hAnsi="Arial"/>
          <w:color w:val="000000" w:themeColor="text1"/>
          <w:sz w:val="24"/>
        </w:rPr>
        <w:t xml:space="preserve">document </w:t>
      </w:r>
      <w:r w:rsidR="00726B6F" w:rsidRPr="00BC4975">
        <w:rPr>
          <w:rFonts w:ascii="Arial" w:hAnsi="Arial"/>
          <w:color w:val="000000" w:themeColor="text1"/>
          <w:sz w:val="24"/>
        </w:rPr>
        <w:t>which is separate</w:t>
      </w:r>
      <w:r w:rsidR="000909A9" w:rsidRPr="00BC4975">
        <w:rPr>
          <w:rFonts w:ascii="Arial" w:hAnsi="Arial"/>
          <w:color w:val="000000" w:themeColor="text1"/>
          <w:sz w:val="24"/>
        </w:rPr>
        <w:t xml:space="preserve"> </w:t>
      </w:r>
      <w:r w:rsidR="0093727E" w:rsidRPr="00BC4975">
        <w:rPr>
          <w:rFonts w:ascii="Arial" w:hAnsi="Arial"/>
          <w:color w:val="000000" w:themeColor="text1"/>
          <w:sz w:val="24"/>
        </w:rPr>
        <w:t>from that whic</w:t>
      </w:r>
      <w:r w:rsidR="00726B6F" w:rsidRPr="00BC4975">
        <w:rPr>
          <w:rFonts w:ascii="Arial" w:hAnsi="Arial"/>
          <w:color w:val="000000" w:themeColor="text1"/>
          <w:sz w:val="24"/>
        </w:rPr>
        <w:t>h gives</w:t>
      </w:r>
      <w:r w:rsidRPr="00BC4975">
        <w:rPr>
          <w:rFonts w:ascii="Arial" w:hAnsi="Arial"/>
          <w:color w:val="000000" w:themeColor="text1"/>
          <w:sz w:val="24"/>
        </w:rPr>
        <w:t xml:space="preserve"> notice under </w:t>
      </w:r>
      <w:r w:rsidR="00A751B1" w:rsidRPr="00BC4975">
        <w:rPr>
          <w:rFonts w:ascii="Arial" w:hAnsi="Arial"/>
          <w:color w:val="000000" w:themeColor="text1"/>
          <w:sz w:val="24"/>
        </w:rPr>
        <w:t>s</w:t>
      </w:r>
      <w:r w:rsidRPr="00BC4975">
        <w:rPr>
          <w:rFonts w:ascii="Arial" w:hAnsi="Arial"/>
          <w:color w:val="000000" w:themeColor="text1"/>
          <w:sz w:val="24"/>
        </w:rPr>
        <w:t xml:space="preserve">ection 19(2)(a) and </w:t>
      </w:r>
      <w:r w:rsidR="00726B6F" w:rsidRPr="00BC4975">
        <w:rPr>
          <w:rFonts w:ascii="Arial" w:hAnsi="Arial"/>
          <w:color w:val="000000" w:themeColor="text1"/>
          <w:sz w:val="24"/>
        </w:rPr>
        <w:t>invites</w:t>
      </w:r>
      <w:r w:rsidRPr="00BC4975">
        <w:rPr>
          <w:rFonts w:ascii="Arial" w:hAnsi="Arial"/>
          <w:color w:val="000000" w:themeColor="text1"/>
          <w:sz w:val="24"/>
        </w:rPr>
        <w:t xml:space="preserve"> representations under </w:t>
      </w:r>
      <w:r w:rsidR="00A751B1" w:rsidRPr="00BC4975">
        <w:rPr>
          <w:rFonts w:ascii="Arial" w:hAnsi="Arial"/>
          <w:color w:val="000000" w:themeColor="text1"/>
          <w:sz w:val="24"/>
        </w:rPr>
        <w:t>s</w:t>
      </w:r>
      <w:r w:rsidRPr="00BC4975">
        <w:rPr>
          <w:rFonts w:ascii="Arial" w:hAnsi="Arial"/>
          <w:color w:val="000000" w:themeColor="text1"/>
          <w:sz w:val="24"/>
        </w:rPr>
        <w:t>ection 19(2)(b).</w:t>
      </w:r>
    </w:p>
    <w:p w14:paraId="70B4609C" w14:textId="20C31E4F" w:rsidR="00AF5E75" w:rsidRDefault="00AF5E75" w:rsidP="00E13B1D">
      <w:pPr>
        <w:rPr>
          <w:rFonts w:ascii="Arial" w:eastAsia="Arial" w:hAnsi="Arial" w:cs="Arial"/>
          <w:color w:val="000000" w:themeColor="text1"/>
          <w:sz w:val="24"/>
          <w:szCs w:val="24"/>
        </w:rPr>
      </w:pPr>
    </w:p>
    <w:p w14:paraId="053AD532" w14:textId="77777777" w:rsidR="00E13B1D" w:rsidRPr="00DA2042" w:rsidRDefault="00E13B1D" w:rsidP="00E13B1D">
      <w:pPr>
        <w:rPr>
          <w:rFonts w:ascii="Arial" w:eastAsia="Arial" w:hAnsi="Arial" w:cs="Arial"/>
          <w:color w:val="000000" w:themeColor="text1"/>
          <w:sz w:val="24"/>
          <w:szCs w:val="24"/>
        </w:rPr>
      </w:pPr>
    </w:p>
    <w:p w14:paraId="2F9D2012" w14:textId="77777777" w:rsidR="00BC4975" w:rsidRDefault="00BC4975" w:rsidP="000A1F3F">
      <w:pPr>
        <w:pStyle w:val="BodyText"/>
        <w:tabs>
          <w:tab w:val="left" w:pos="3261"/>
        </w:tabs>
        <w:ind w:left="0" w:right="5584"/>
        <w:rPr>
          <w:rFonts w:cs="Arial"/>
          <w:color w:val="000000" w:themeColor="text1"/>
          <w:lang w:val="en-GB"/>
        </w:rPr>
      </w:pPr>
    </w:p>
    <w:p w14:paraId="39E41095" w14:textId="77777777" w:rsidR="00BC4975" w:rsidRDefault="00BC4975" w:rsidP="000A1F3F">
      <w:pPr>
        <w:pStyle w:val="BodyText"/>
        <w:tabs>
          <w:tab w:val="left" w:pos="3261"/>
        </w:tabs>
        <w:ind w:left="0" w:right="5584"/>
        <w:rPr>
          <w:rFonts w:cs="Arial"/>
          <w:color w:val="000000" w:themeColor="text1"/>
          <w:lang w:val="en-GB"/>
        </w:rPr>
      </w:pPr>
    </w:p>
    <w:p w14:paraId="3D119736" w14:textId="77777777" w:rsidR="00E13B1D" w:rsidRPr="00DA2042" w:rsidRDefault="00E13B1D" w:rsidP="000A1F3F">
      <w:pPr>
        <w:pStyle w:val="BodyText"/>
        <w:tabs>
          <w:tab w:val="left" w:pos="3261"/>
        </w:tabs>
        <w:ind w:left="0" w:right="5584"/>
        <w:rPr>
          <w:rFonts w:cs="Arial"/>
          <w:color w:val="000000" w:themeColor="text1"/>
          <w:lang w:val="en-GB"/>
        </w:rPr>
      </w:pPr>
      <w:r w:rsidRPr="00DA2042">
        <w:rPr>
          <w:rFonts w:cs="Arial"/>
          <w:color w:val="000000" w:themeColor="text1"/>
          <w:lang w:val="en-GB"/>
        </w:rPr>
        <w:t>Lady Smith</w:t>
      </w:r>
    </w:p>
    <w:p w14:paraId="66E2C75C" w14:textId="77777777" w:rsidR="00E13B1D" w:rsidRPr="00DA2042" w:rsidRDefault="00E13B1D" w:rsidP="000A1F3F">
      <w:pPr>
        <w:pStyle w:val="BodyText"/>
        <w:tabs>
          <w:tab w:val="left" w:pos="2835"/>
          <w:tab w:val="left" w:pos="3261"/>
        </w:tabs>
        <w:ind w:left="0" w:right="5584"/>
        <w:rPr>
          <w:rFonts w:cs="Arial"/>
          <w:color w:val="000000" w:themeColor="text1"/>
          <w:lang w:val="en-GB"/>
        </w:rPr>
      </w:pPr>
      <w:r w:rsidRPr="00DA2042">
        <w:rPr>
          <w:rFonts w:cs="Arial"/>
          <w:color w:val="000000" w:themeColor="text1"/>
          <w:lang w:val="en-GB"/>
        </w:rPr>
        <w:t>President of Tribunals</w:t>
      </w:r>
    </w:p>
    <w:p w14:paraId="2506FEF9" w14:textId="3B71000C" w:rsidR="00E13B1D" w:rsidRPr="00DA2042" w:rsidRDefault="00186E19" w:rsidP="000A1F3F">
      <w:pPr>
        <w:pStyle w:val="BodyText"/>
        <w:tabs>
          <w:tab w:val="left" w:pos="3261"/>
        </w:tabs>
        <w:ind w:left="0" w:right="5584"/>
        <w:rPr>
          <w:rFonts w:cs="Arial"/>
          <w:color w:val="000000" w:themeColor="text1"/>
          <w:lang w:val="en-GB"/>
        </w:rPr>
      </w:pPr>
      <w:r>
        <w:rPr>
          <w:rFonts w:cs="Arial"/>
          <w:color w:val="000000" w:themeColor="text1"/>
          <w:lang w:val="en-GB"/>
        </w:rPr>
        <w:t>26 February 2018</w:t>
      </w:r>
    </w:p>
    <w:p w14:paraId="1870552D" w14:textId="77777777" w:rsidR="00E13B1D" w:rsidRPr="00DA2042" w:rsidRDefault="00E13B1D" w:rsidP="00E13B1D">
      <w:pPr>
        <w:pStyle w:val="BodyText"/>
        <w:ind w:right="7448"/>
        <w:jc w:val="both"/>
        <w:rPr>
          <w:color w:val="000000" w:themeColor="text1"/>
        </w:rPr>
      </w:pPr>
    </w:p>
    <w:p w14:paraId="28805419" w14:textId="77777777" w:rsidR="00E13B1D" w:rsidRPr="00DA2042" w:rsidRDefault="00E13B1D" w:rsidP="00E13B1D">
      <w:pPr>
        <w:spacing w:before="58"/>
        <w:ind w:left="120" w:right="4526"/>
        <w:rPr>
          <w:rFonts w:ascii="Arial" w:hAnsi="Arial" w:cs="Arial"/>
          <w:i/>
          <w:color w:val="000000" w:themeColor="text1"/>
          <w:sz w:val="24"/>
          <w:szCs w:val="24"/>
        </w:rPr>
      </w:pPr>
    </w:p>
    <w:p w14:paraId="5E271820" w14:textId="77777777" w:rsidR="00E13B1D" w:rsidRPr="00DA2042" w:rsidRDefault="00E13B1D" w:rsidP="00E13B1D">
      <w:pPr>
        <w:spacing w:before="58"/>
        <w:ind w:left="120" w:right="4526"/>
        <w:rPr>
          <w:rFonts w:ascii="Arial" w:hAnsi="Arial" w:cs="Arial"/>
          <w:i/>
          <w:color w:val="000000" w:themeColor="text1"/>
          <w:sz w:val="24"/>
          <w:szCs w:val="24"/>
        </w:rPr>
      </w:pPr>
    </w:p>
    <w:p w14:paraId="1CD563AF" w14:textId="77777777" w:rsidR="00E13B1D" w:rsidRPr="00DA2042" w:rsidRDefault="00E13B1D" w:rsidP="00E13B1D">
      <w:pPr>
        <w:spacing w:before="58"/>
        <w:ind w:left="120" w:right="4526"/>
        <w:rPr>
          <w:rFonts w:ascii="Arial" w:hAnsi="Arial" w:cs="Arial"/>
          <w:i/>
          <w:color w:val="000000" w:themeColor="text1"/>
          <w:sz w:val="24"/>
          <w:szCs w:val="24"/>
        </w:rPr>
      </w:pPr>
    </w:p>
    <w:p w14:paraId="415E052B" w14:textId="77777777" w:rsidR="00E13B1D" w:rsidRPr="00DA2042" w:rsidRDefault="00E13B1D" w:rsidP="00E13B1D">
      <w:pPr>
        <w:spacing w:before="58"/>
        <w:ind w:left="120" w:right="4526"/>
        <w:rPr>
          <w:rFonts w:ascii="Arial" w:hAnsi="Arial" w:cs="Arial"/>
          <w:i/>
          <w:color w:val="000000" w:themeColor="text1"/>
          <w:sz w:val="24"/>
          <w:szCs w:val="24"/>
        </w:rPr>
      </w:pPr>
    </w:p>
    <w:p w14:paraId="4EF91F3B" w14:textId="77777777" w:rsidR="00E13B1D" w:rsidRPr="00DA2042" w:rsidRDefault="00E13B1D" w:rsidP="00E13B1D">
      <w:pPr>
        <w:spacing w:before="58"/>
        <w:ind w:left="120" w:right="4526"/>
        <w:rPr>
          <w:rFonts w:ascii="Arial" w:hAnsi="Arial" w:cs="Arial"/>
          <w:i/>
          <w:color w:val="000000" w:themeColor="text1"/>
          <w:sz w:val="24"/>
          <w:szCs w:val="24"/>
        </w:rPr>
      </w:pPr>
    </w:p>
    <w:p w14:paraId="463007C1" w14:textId="77777777" w:rsidR="00A365C4" w:rsidRPr="00DA2042" w:rsidRDefault="00A365C4" w:rsidP="00E13B1D">
      <w:pPr>
        <w:rPr>
          <w:color w:val="000000" w:themeColor="text1"/>
        </w:rPr>
      </w:pPr>
    </w:p>
    <w:sectPr w:rsidR="00A365C4" w:rsidRPr="00DA2042" w:rsidSect="00D10191">
      <w:headerReference w:type="default" r:id="rId9"/>
      <w:footerReference w:type="default" r:id="rId10"/>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DB59C" w14:textId="77777777" w:rsidR="00EF6AE3" w:rsidRDefault="00EF6AE3">
      <w:r>
        <w:separator/>
      </w:r>
    </w:p>
  </w:endnote>
  <w:endnote w:type="continuationSeparator" w:id="0">
    <w:p w14:paraId="616494E3" w14:textId="77777777" w:rsidR="00EF6AE3" w:rsidRDefault="00EF6AE3">
      <w:r>
        <w:continuationSeparator/>
      </w:r>
    </w:p>
  </w:endnote>
  <w:endnote w:type="continuationNotice" w:id="1">
    <w:p w14:paraId="6865EADA" w14:textId="77777777" w:rsidR="00EF6AE3" w:rsidRDefault="00EF6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25B0" w14:textId="77777777" w:rsidR="00F21778" w:rsidRPr="0067486A" w:rsidRDefault="00B54CF7"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9CAED" w14:textId="77777777" w:rsidR="00EF6AE3" w:rsidRDefault="00EF6AE3">
      <w:r>
        <w:separator/>
      </w:r>
    </w:p>
  </w:footnote>
  <w:footnote w:type="continuationSeparator" w:id="0">
    <w:p w14:paraId="1B51AF7C" w14:textId="77777777" w:rsidR="00EF6AE3" w:rsidRDefault="00EF6AE3">
      <w:r>
        <w:continuationSeparator/>
      </w:r>
    </w:p>
  </w:footnote>
  <w:footnote w:type="continuationNotice" w:id="1">
    <w:p w14:paraId="064BB377" w14:textId="77777777" w:rsidR="00EF6AE3" w:rsidRDefault="00EF6A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517A" w14:textId="77777777" w:rsidR="00F21778" w:rsidRPr="0067486A" w:rsidRDefault="00B54CF7"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E37D2"/>
    <w:multiLevelType w:val="hybridMultilevel"/>
    <w:tmpl w:val="517452CA"/>
    <w:lvl w:ilvl="0" w:tplc="6D607406">
      <w:start w:val="1"/>
      <w:numFmt w:val="decimal"/>
      <w:lvlText w:val="%1."/>
      <w:lvlJc w:val="left"/>
      <w:pPr>
        <w:ind w:left="119" w:hanging="316"/>
      </w:pPr>
      <w:rPr>
        <w:rFonts w:ascii="Arial" w:eastAsia="Arial" w:hAnsi="Arial" w:hint="default"/>
        <w:spacing w:val="-1"/>
        <w:w w:val="99"/>
        <w:sz w:val="24"/>
        <w:szCs w:val="24"/>
      </w:rPr>
    </w:lvl>
    <w:lvl w:ilvl="1" w:tplc="7598C90C">
      <w:start w:val="1"/>
      <w:numFmt w:val="bullet"/>
      <w:lvlText w:val="•"/>
      <w:lvlJc w:val="left"/>
      <w:pPr>
        <w:ind w:left="1034" w:hanging="316"/>
      </w:pPr>
      <w:rPr>
        <w:rFonts w:hint="default"/>
      </w:rPr>
    </w:lvl>
    <w:lvl w:ilvl="2" w:tplc="53648A1C">
      <w:start w:val="1"/>
      <w:numFmt w:val="bullet"/>
      <w:lvlText w:val="•"/>
      <w:lvlJc w:val="left"/>
      <w:pPr>
        <w:ind w:left="1948" w:hanging="316"/>
      </w:pPr>
      <w:rPr>
        <w:rFonts w:hint="default"/>
      </w:rPr>
    </w:lvl>
    <w:lvl w:ilvl="3" w:tplc="B5F06766">
      <w:start w:val="1"/>
      <w:numFmt w:val="bullet"/>
      <w:lvlText w:val="•"/>
      <w:lvlJc w:val="left"/>
      <w:pPr>
        <w:ind w:left="2863" w:hanging="316"/>
      </w:pPr>
      <w:rPr>
        <w:rFonts w:hint="default"/>
      </w:rPr>
    </w:lvl>
    <w:lvl w:ilvl="4" w:tplc="3AC04AE0">
      <w:start w:val="1"/>
      <w:numFmt w:val="bullet"/>
      <w:lvlText w:val="•"/>
      <w:lvlJc w:val="left"/>
      <w:pPr>
        <w:ind w:left="3777" w:hanging="316"/>
      </w:pPr>
      <w:rPr>
        <w:rFonts w:hint="default"/>
      </w:rPr>
    </w:lvl>
    <w:lvl w:ilvl="5" w:tplc="C60A0AFC">
      <w:start w:val="1"/>
      <w:numFmt w:val="bullet"/>
      <w:lvlText w:val="•"/>
      <w:lvlJc w:val="left"/>
      <w:pPr>
        <w:ind w:left="4692" w:hanging="316"/>
      </w:pPr>
      <w:rPr>
        <w:rFonts w:hint="default"/>
      </w:rPr>
    </w:lvl>
    <w:lvl w:ilvl="6" w:tplc="B2C24FB2">
      <w:start w:val="1"/>
      <w:numFmt w:val="bullet"/>
      <w:lvlText w:val="•"/>
      <w:lvlJc w:val="left"/>
      <w:pPr>
        <w:ind w:left="5606" w:hanging="316"/>
      </w:pPr>
      <w:rPr>
        <w:rFonts w:hint="default"/>
      </w:rPr>
    </w:lvl>
    <w:lvl w:ilvl="7" w:tplc="E4506D66">
      <w:start w:val="1"/>
      <w:numFmt w:val="bullet"/>
      <w:lvlText w:val="•"/>
      <w:lvlJc w:val="left"/>
      <w:pPr>
        <w:ind w:left="6521" w:hanging="316"/>
      </w:pPr>
      <w:rPr>
        <w:rFonts w:hint="default"/>
      </w:rPr>
    </w:lvl>
    <w:lvl w:ilvl="8" w:tplc="5DAAC95E">
      <w:start w:val="1"/>
      <w:numFmt w:val="bullet"/>
      <w:lvlText w:val="•"/>
      <w:lvlJc w:val="left"/>
      <w:pPr>
        <w:ind w:left="7435" w:hanging="3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AXgFhQxFQvY4nPmYV9lzoFPl2Fk=" w:salt="cbPttuzokXpszTmZoj8qPQ=="/>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C4"/>
    <w:rsid w:val="000909A9"/>
    <w:rsid w:val="000A1F3F"/>
    <w:rsid w:val="00186E19"/>
    <w:rsid w:val="00252C02"/>
    <w:rsid w:val="00303865"/>
    <w:rsid w:val="00367DFF"/>
    <w:rsid w:val="003C3531"/>
    <w:rsid w:val="004255E4"/>
    <w:rsid w:val="00460D41"/>
    <w:rsid w:val="004F0EE6"/>
    <w:rsid w:val="00573989"/>
    <w:rsid w:val="006C0944"/>
    <w:rsid w:val="00726B6F"/>
    <w:rsid w:val="0080523E"/>
    <w:rsid w:val="008C581D"/>
    <w:rsid w:val="0093727E"/>
    <w:rsid w:val="009B19C0"/>
    <w:rsid w:val="009F50C0"/>
    <w:rsid w:val="00A365C4"/>
    <w:rsid w:val="00A751B1"/>
    <w:rsid w:val="00AF5E75"/>
    <w:rsid w:val="00B54CF7"/>
    <w:rsid w:val="00BC4975"/>
    <w:rsid w:val="00C3585F"/>
    <w:rsid w:val="00DA2042"/>
    <w:rsid w:val="00DE6ADB"/>
    <w:rsid w:val="00E13B1D"/>
    <w:rsid w:val="00E210E3"/>
    <w:rsid w:val="00EE66EE"/>
    <w:rsid w:val="00EF6AE3"/>
    <w:rsid w:val="00F2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10E3"/>
    <w:rPr>
      <w:rFonts w:ascii="Tahoma" w:hAnsi="Tahoma" w:cs="Tahoma"/>
      <w:sz w:val="16"/>
      <w:szCs w:val="16"/>
    </w:rPr>
  </w:style>
  <w:style w:type="character" w:customStyle="1" w:styleId="BalloonTextChar">
    <w:name w:val="Balloon Text Char"/>
    <w:basedOn w:val="DefaultParagraphFont"/>
    <w:link w:val="BalloonText"/>
    <w:uiPriority w:val="99"/>
    <w:semiHidden/>
    <w:rsid w:val="00E210E3"/>
    <w:rPr>
      <w:rFonts w:ascii="Tahoma" w:hAnsi="Tahoma" w:cs="Tahoma"/>
      <w:sz w:val="16"/>
      <w:szCs w:val="16"/>
    </w:rPr>
  </w:style>
  <w:style w:type="paragraph" w:styleId="Header">
    <w:name w:val="header"/>
    <w:basedOn w:val="Normal"/>
    <w:link w:val="HeaderChar"/>
    <w:rsid w:val="00E13B1D"/>
    <w:pPr>
      <w:widowControl/>
      <w:tabs>
        <w:tab w:val="center" w:pos="4153"/>
        <w:tab w:val="right" w:pos="8306"/>
      </w:tabs>
      <w:spacing w:line="240" w:lineRule="atLeast"/>
    </w:pPr>
    <w:rPr>
      <w:rFonts w:ascii="Arial" w:eastAsia="Times New Roman" w:hAnsi="Arial" w:cs="Arial"/>
      <w:sz w:val="24"/>
      <w:szCs w:val="20"/>
      <w:lang w:val="en-GB"/>
    </w:rPr>
  </w:style>
  <w:style w:type="character" w:customStyle="1" w:styleId="HeaderChar">
    <w:name w:val="Header Char"/>
    <w:basedOn w:val="DefaultParagraphFont"/>
    <w:link w:val="Header"/>
    <w:rsid w:val="00E13B1D"/>
    <w:rPr>
      <w:rFonts w:ascii="Arial" w:eastAsia="Times New Roman" w:hAnsi="Arial" w:cs="Arial"/>
      <w:sz w:val="24"/>
      <w:szCs w:val="20"/>
      <w:lang w:val="en-GB"/>
    </w:rPr>
  </w:style>
  <w:style w:type="paragraph" w:styleId="Footer">
    <w:name w:val="footer"/>
    <w:basedOn w:val="Normal"/>
    <w:link w:val="FooterChar"/>
    <w:rsid w:val="00E13B1D"/>
    <w:pPr>
      <w:widowControl/>
      <w:tabs>
        <w:tab w:val="center" w:pos="4153"/>
        <w:tab w:val="right" w:pos="8306"/>
      </w:tabs>
      <w:spacing w:line="240" w:lineRule="atLeast"/>
    </w:pPr>
    <w:rPr>
      <w:rFonts w:ascii="Arial" w:eastAsia="Times New Roman" w:hAnsi="Arial" w:cs="Arial"/>
      <w:sz w:val="24"/>
      <w:szCs w:val="20"/>
      <w:lang w:val="en-GB"/>
    </w:rPr>
  </w:style>
  <w:style w:type="character" w:customStyle="1" w:styleId="FooterChar">
    <w:name w:val="Footer Char"/>
    <w:basedOn w:val="DefaultParagraphFont"/>
    <w:link w:val="Footer"/>
    <w:rsid w:val="00E13B1D"/>
    <w:rPr>
      <w:rFonts w:ascii="Arial" w:eastAsia="Times New Roman" w:hAnsi="Arial" w:cs="Arial"/>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10E3"/>
    <w:rPr>
      <w:rFonts w:ascii="Tahoma" w:hAnsi="Tahoma" w:cs="Tahoma"/>
      <w:sz w:val="16"/>
      <w:szCs w:val="16"/>
    </w:rPr>
  </w:style>
  <w:style w:type="character" w:customStyle="1" w:styleId="BalloonTextChar">
    <w:name w:val="Balloon Text Char"/>
    <w:basedOn w:val="DefaultParagraphFont"/>
    <w:link w:val="BalloonText"/>
    <w:uiPriority w:val="99"/>
    <w:semiHidden/>
    <w:rsid w:val="00E210E3"/>
    <w:rPr>
      <w:rFonts w:ascii="Tahoma" w:hAnsi="Tahoma" w:cs="Tahoma"/>
      <w:sz w:val="16"/>
      <w:szCs w:val="16"/>
    </w:rPr>
  </w:style>
  <w:style w:type="paragraph" w:styleId="Header">
    <w:name w:val="header"/>
    <w:basedOn w:val="Normal"/>
    <w:link w:val="HeaderChar"/>
    <w:rsid w:val="00E13B1D"/>
    <w:pPr>
      <w:widowControl/>
      <w:tabs>
        <w:tab w:val="center" w:pos="4153"/>
        <w:tab w:val="right" w:pos="8306"/>
      </w:tabs>
      <w:spacing w:line="240" w:lineRule="atLeast"/>
    </w:pPr>
    <w:rPr>
      <w:rFonts w:ascii="Arial" w:eastAsia="Times New Roman" w:hAnsi="Arial" w:cs="Arial"/>
      <w:sz w:val="24"/>
      <w:szCs w:val="20"/>
      <w:lang w:val="en-GB"/>
    </w:rPr>
  </w:style>
  <w:style w:type="character" w:customStyle="1" w:styleId="HeaderChar">
    <w:name w:val="Header Char"/>
    <w:basedOn w:val="DefaultParagraphFont"/>
    <w:link w:val="Header"/>
    <w:rsid w:val="00E13B1D"/>
    <w:rPr>
      <w:rFonts w:ascii="Arial" w:eastAsia="Times New Roman" w:hAnsi="Arial" w:cs="Arial"/>
      <w:sz w:val="24"/>
      <w:szCs w:val="20"/>
      <w:lang w:val="en-GB"/>
    </w:rPr>
  </w:style>
  <w:style w:type="paragraph" w:styleId="Footer">
    <w:name w:val="footer"/>
    <w:basedOn w:val="Normal"/>
    <w:link w:val="FooterChar"/>
    <w:rsid w:val="00E13B1D"/>
    <w:pPr>
      <w:widowControl/>
      <w:tabs>
        <w:tab w:val="center" w:pos="4153"/>
        <w:tab w:val="right" w:pos="8306"/>
      </w:tabs>
      <w:spacing w:line="240" w:lineRule="atLeast"/>
    </w:pPr>
    <w:rPr>
      <w:rFonts w:ascii="Arial" w:eastAsia="Times New Roman" w:hAnsi="Arial" w:cs="Arial"/>
      <w:sz w:val="24"/>
      <w:szCs w:val="20"/>
      <w:lang w:val="en-GB"/>
    </w:rPr>
  </w:style>
  <w:style w:type="character" w:customStyle="1" w:styleId="FooterChar">
    <w:name w:val="Footer Char"/>
    <w:basedOn w:val="DefaultParagraphFont"/>
    <w:link w:val="Footer"/>
    <w:rsid w:val="00E13B1D"/>
    <w:rPr>
      <w:rFonts w:ascii="Arial" w:eastAsia="Times New Roman" w:hAnsi="Arial" w:cs="Arial"/>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8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Microsoft Word - Practice Direction- separate documents</vt:lpstr>
    </vt:vector>
  </TitlesOfParts>
  <Company>Scottish Courts and Tribunals Service</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Practice Direction- separate documents</dc:title>
  <dc:creator>n415156</dc:creator>
  <cp:lastModifiedBy>IMACLEAN</cp:lastModifiedBy>
  <cp:revision>3</cp:revision>
  <cp:lastPrinted>2017-12-21T09:57:00Z</cp:lastPrinted>
  <dcterms:created xsi:type="dcterms:W3CDTF">2018-03-05T08:38:00Z</dcterms:created>
  <dcterms:modified xsi:type="dcterms:W3CDTF">2018-03-05T09:12:00Z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Creator">
    <vt:lpwstr>PScript5.dll Version 5.2.2</vt:lpwstr>
  </property>
  <property fmtid="{D5CDD505-2E9C-101B-9397-08002B2CF9AE}" pid="4" name="LastSaved">
    <vt:filetime>2016-11-24T00:00:00Z</vt:filetime>
  </property>
</Properties>
</file>